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UNIVERSIDADE FEDERAL DE OURO PRETO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-12696</wp:posOffset>
            </wp:positionH>
            <wp:positionV relativeFrom="paragraph">
              <wp:posOffset>-283842</wp:posOffset>
            </wp:positionV>
            <wp:extent cx="796925" cy="80708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5363845</wp:posOffset>
            </wp:positionH>
            <wp:positionV relativeFrom="paragraph">
              <wp:posOffset>-325117</wp:posOffset>
            </wp:positionV>
            <wp:extent cx="580390" cy="855980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PRÓ-REITORIA DE </w:t>
      </w:r>
      <w:r w:rsidDel="00000000" w:rsidR="00000000" w:rsidRPr="00000000">
        <w:rPr>
          <w:b w:val="1"/>
          <w:rtl w:val="0"/>
        </w:rPr>
        <w:t xml:space="preserve">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tabs>
          <w:tab w:val="center" w:pos="4419"/>
          <w:tab w:val="right" w:pos="8838"/>
          <w:tab w:val="center" w:pos="4252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1"/>
        <w:gridCol w:w="3186"/>
        <w:tblGridChange w:id="0">
          <w:tblGrid>
            <w:gridCol w:w="6521"/>
            <w:gridCol w:w="3186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do Componente Curricular em português:</w:t>
            </w:r>
          </w:p>
          <w:p w:rsidR="00000000" w:rsidDel="00000000" w:rsidP="00000000" w:rsidRDefault="00000000" w:rsidRPr="00000000" w14:paraId="000000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Geometria Analítica e Álgebra Linear</w:t>
            </w:r>
          </w:p>
          <w:p w:rsidR="00000000" w:rsidDel="00000000" w:rsidP="00000000" w:rsidRDefault="00000000" w:rsidRPr="00000000" w14:paraId="0000000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do Componente Curricular em inglês:</w:t>
            </w:r>
          </w:p>
          <w:p w:rsidR="00000000" w:rsidDel="00000000" w:rsidP="00000000" w:rsidRDefault="00000000" w:rsidRPr="00000000" w14:paraId="0000000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Analytical geometry and linear algebra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Código: </w:t>
            </w:r>
          </w:p>
          <w:p w:rsidR="00000000" w:rsidDel="00000000" w:rsidP="00000000" w:rsidRDefault="00000000" w:rsidRPr="00000000" w14:paraId="000000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CEA 001  </w:t>
            </w:r>
          </w:p>
          <w:p w:rsidR="00000000" w:rsidDel="00000000" w:rsidP="00000000" w:rsidRDefault="00000000" w:rsidRPr="00000000" w14:paraId="000000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Turma:</w:t>
            </w:r>
          </w:p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T31 - EP</w:t>
            </w:r>
          </w:p>
        </w:tc>
      </w:tr>
      <w:tr>
        <w:trPr>
          <w:trHeight w:val="641" w:hRule="atLeast"/>
        </w:trPr>
        <w:tc>
          <w:tcPr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e sigla do departamento:</w:t>
            </w:r>
          </w:p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Departamento de Ciências Exatas e Aplicadas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Unidade acadêmica:</w:t>
            </w:r>
          </w:p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ICEA</w:t>
            </w:r>
          </w:p>
        </w:tc>
      </w:tr>
      <w:tr>
        <w:trPr>
          <w:trHeight w:val="641" w:hRule="atLeast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Nome dos docentes: </w:t>
            </w:r>
          </w:p>
          <w:p w:rsidR="00000000" w:rsidDel="00000000" w:rsidP="00000000" w:rsidRDefault="00000000" w:rsidRPr="00000000" w14:paraId="000000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Cristiano Santos Benjamin</w:t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5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118"/>
              <w:gridCol w:w="3119"/>
              <w:gridCol w:w="3119"/>
              <w:tblGridChange w:id="0">
                <w:tblGrid>
                  <w:gridCol w:w="3118"/>
                  <w:gridCol w:w="3119"/>
                  <w:gridCol w:w="3119"/>
                </w:tblGrid>
              </w:tblGridChange>
            </w:tblGrid>
            <w:tr>
              <w:trPr>
                <w:trHeight w:val="641" w:hRule="atLeast"/>
              </w:trPr>
              <w:tc>
                <w:tcPr>
                  <w:tcBorders>
                    <w:left w:color="000000" w:space="0" w:sz="18" w:val="single"/>
                  </w:tcBorders>
                </w:tcPr>
                <w:p w:rsidR="00000000" w:rsidDel="00000000" w:rsidP="00000000" w:rsidRDefault="00000000" w:rsidRPr="00000000" w14:paraId="00000016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Carga horária semestral</w:t>
                  </w:r>
                </w:p>
                <w:p w:rsidR="00000000" w:rsidDel="00000000" w:rsidP="00000000" w:rsidRDefault="00000000" w:rsidRPr="00000000" w14:paraId="00000017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60 horas</w:t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8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Carga horária semanal teórica</w:t>
                  </w:r>
                </w:p>
                <w:p w:rsidR="00000000" w:rsidDel="00000000" w:rsidP="00000000" w:rsidRDefault="00000000" w:rsidRPr="00000000" w14:paraId="00000019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 horas/aula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18" w:val="single"/>
                  </w:tcBorders>
                </w:tcPr>
                <w:p w:rsidR="00000000" w:rsidDel="00000000" w:rsidP="00000000" w:rsidRDefault="00000000" w:rsidRPr="00000000" w14:paraId="0000001A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Carga horária semanal prática</w:t>
                  </w:r>
                </w:p>
                <w:p w:rsidR="00000000" w:rsidDel="00000000" w:rsidP="00000000" w:rsidRDefault="00000000" w:rsidRPr="00000000" w14:paraId="0000001B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00 horas/aula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E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Data de aprovação na assembleia departamental: </w:t>
            </w: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color w:val="ff000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color w:val="ff0000"/>
                <w:rtl w:val="0"/>
              </w:rPr>
              <w:t xml:space="preserve">xxxx</w:t>
            </w:r>
          </w:p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Ementa: Sistemas Lineares. Matrizes. Álgebra Vetorial. Retas e planos. Espaços Vetoriais Euclidianos. Transformações Lineares. Autovalores e Autovetores. Diagonalização. Cônicas</w:t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4">
            <w:pPr>
              <w:ind w:left="0" w:right="44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spacing w:after="20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Sistema de Equações lineares e matrizes 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Eliminação Gaussiana 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Matrizes e operações matriciais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Inversão de matrizes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Determinantes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spacing w:after="20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Álgebra Vetorial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Definição e operações de soma e multiplicação por escalar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Produto escalar e projeções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Produto vetorial e produto misto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9"/>
              </w:numPr>
              <w:spacing w:after="20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Retas e planos no espaço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9"/>
              </w:numPr>
              <w:spacing w:after="20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Espaços Vetoriais Euclidianos</w:t>
            </w:r>
          </w:p>
          <w:p w:rsidR="00000000" w:rsidDel="00000000" w:rsidP="00000000" w:rsidRDefault="00000000" w:rsidRPr="00000000" w14:paraId="00000030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Definição e propriedades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Subespaços vetoriais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Combinação e Independência lineares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Base e Dimensão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Transformações Lineares: reflexão, projeção, rotação, contração e dilatação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Propriedades das transformações lineares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Conceito de autovalores e autovetor.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9"/>
              </w:numPr>
              <w:spacing w:after="20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Autovalores e Autovetores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9"/>
              </w:numPr>
              <w:spacing w:after="20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Diagonalização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9"/>
              </w:numPr>
              <w:spacing w:after="20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Cônicas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Objetivos:</w:t>
            </w:r>
            <w:r w:rsidDel="00000000" w:rsidR="00000000" w:rsidRPr="00000000">
              <w:rPr>
                <w:rtl w:val="0"/>
              </w:rPr>
              <w:t xml:space="preserve"> Os alunos ao fim do semestre deverão compreender os conceitos de espaço vetorial, transformações lineares, autovetores e autovalores. Trabalhar com vetores no R² e R³. Ser aptos a reconhecer e utilizar matrizes e sistemas lineares.</w:t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E">
            <w:pPr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Metodologia: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plataforma para disponibilização de conteúdo e as atividades avaliativas </w:t>
            </w:r>
            <w:r w:rsidDel="00000000" w:rsidR="00000000" w:rsidRPr="00000000">
              <w:rPr>
                <w:rtl w:val="0"/>
              </w:rPr>
              <w:t xml:space="preserve">será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https://classroom.conexty.com</w:t>
              </w:r>
            </w:hyperlink>
            <w:r w:rsidDel="00000000" w:rsidR="00000000" w:rsidRPr="00000000">
              <w:rPr>
                <w:rtl w:val="0"/>
              </w:rPr>
              <w:t xml:space="preserve">, que estará disponível a partir do início das aulas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Serão disponibilizadas vídeos-aula com a duração </w:t>
            </w:r>
            <w:r w:rsidDel="00000000" w:rsidR="00000000" w:rsidRPr="00000000">
              <w:rPr>
                <w:rtl w:val="0"/>
              </w:rPr>
              <w:t xml:space="preserve">de até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25 minutos.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aferição de frequência será feita </w:t>
            </w:r>
            <w:r w:rsidDel="00000000" w:rsidR="00000000" w:rsidRPr="00000000">
              <w:rPr>
                <w:rtl w:val="0"/>
              </w:rPr>
              <w:t xml:space="preserve">pelas avaliações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avaliação da disciplina será feita por provas de múltipla escolha. A prova ficará disponível </w:t>
            </w:r>
            <w:r w:rsidDel="00000000" w:rsidR="00000000" w:rsidRPr="00000000">
              <w:rPr>
                <w:rtl w:val="0"/>
              </w:rPr>
              <w:t xml:space="preserve">para ser respondida na plataforma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https://classroom.conexty.com</w:t>
              </w:r>
            </w:hyperlink>
            <w:r w:rsidDel="00000000" w:rsidR="00000000" w:rsidRPr="00000000">
              <w:rPr>
                <w:rtl w:val="0"/>
              </w:rPr>
              <w:t xml:space="preserve">. A prova ficará disponível por um período de 12 horas. Mas ao iniciar a resolução da prova, o aluno terá apenas 1hora e 40 minutos para finalizar. Cada aluno deverá realizar as provas sozinho. Cada aluno terá sua prova diferente das provas dos colegas.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Toda semana serão disponibilizados 2 horas-aula com atendimento síncrono via vídeo chamada no Google Meet. </w:t>
            </w:r>
            <w:r w:rsidDel="00000000" w:rsidR="00000000" w:rsidRPr="00000000">
              <w:rPr>
                <w:rtl w:val="0"/>
              </w:rPr>
              <w:t xml:space="preserve">O link da reunião é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https://meet.google.com/fin-nqxc-hxo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Exames especiais </w:t>
            </w:r>
            <w:r w:rsidDel="00000000" w:rsidR="00000000" w:rsidRPr="00000000">
              <w:rPr>
                <w:rtl w:val="0"/>
              </w:rPr>
              <w:t xml:space="preserve">serão questões de múltipla escolha que serão disponibilizadas por 12 horas na plataforma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https://classroom.conexty.com</w:t>
              </w:r>
            </w:hyperlink>
            <w:r w:rsidDel="00000000" w:rsidR="00000000" w:rsidRPr="00000000">
              <w:rPr>
                <w:rtl w:val="0"/>
              </w:rPr>
              <w:t xml:space="preserve"> e ao iniciar a resolução da prova, o aluno terá apenas 1 hora e 40 minutos para finalizar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Cada aluno deverá realizar as provas sozinho. Cada aluno terá sua prova diferente das provas dos colegas.</w:t>
            </w:r>
          </w:p>
          <w:p w:rsidR="00000000" w:rsidDel="00000000" w:rsidP="00000000" w:rsidRDefault="00000000" w:rsidRPr="00000000" w14:paraId="00000045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7">
            <w:pPr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 avaliativas:</w:t>
            </w:r>
            <w:r w:rsidDel="00000000" w:rsidR="00000000" w:rsidRPr="00000000">
              <w:rPr>
                <w:rtl w:val="0"/>
              </w:rPr>
              <w:t xml:space="preserve"> Serão realizadas 7 provas com o mesmo peso. Cada prova será utilizada para aferição de frequência, correspondendo a 1/7 da carga horária total.</w:t>
            </w:r>
          </w:p>
          <w:p w:rsidR="00000000" w:rsidDel="00000000" w:rsidP="00000000" w:rsidRDefault="00000000" w:rsidRPr="00000000" w14:paraId="00000048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767.0" w:type="dxa"/>
              <w:jc w:val="center"/>
              <w:tblLayout w:type="fixed"/>
              <w:tblLook w:val="0400"/>
            </w:tblPr>
            <w:tblGrid>
              <w:gridCol w:w="1877"/>
              <w:gridCol w:w="1318"/>
              <w:gridCol w:w="4572"/>
              <w:tblGridChange w:id="0">
                <w:tblGrid>
                  <w:gridCol w:w="1877"/>
                  <w:gridCol w:w="1318"/>
                  <w:gridCol w:w="4572"/>
                </w:tblGrid>
              </w:tblGridChange>
            </w:tblGrid>
            <w:tr>
              <w:trPr>
                <w:trHeight w:val="274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ind w:left="0" w:hanging="2"/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Descrição da avaliação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ind w:left="0" w:hanging="2"/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Data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ind w:left="0" w:hanging="2"/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Conteúdo avaliado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C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D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29/01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Conteúdo quinzenal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F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0">
                  <w:pPr>
                    <w:widowControl w:val="0"/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12/02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1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Conteúdo quinzenal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2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3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26/02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Conteúdo quinzenal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5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6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12/03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Conteúdo quinzenal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8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9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26/03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Conteúdo quinzenal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B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C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09/04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D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Conteúdo quinzenal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E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Prova 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F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23/04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Conteúdo quinzenal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1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Exame Especial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2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3">
                  <w:pPr>
                    <w:ind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Correspondente ao tipo de exame</w:t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firstLine="0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8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 da disciplina</w:t>
            </w:r>
          </w:p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09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25"/>
              <w:gridCol w:w="7365"/>
              <w:tblGridChange w:id="0">
                <w:tblGrid>
                  <w:gridCol w:w="1725"/>
                  <w:gridCol w:w="73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Período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Conteúdo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18/01 - 29/01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Introdução ao estudo de Matrizes</w:t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 Propriedades das Operações com Matrizes. Exemplos</w:t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Sistemas Lineares: Introdução, matrizes reduzidas.</w:t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Sistemas Lineares: Operações Elementares, Método de Gauss Jordan. Exemplos. Sistemas Lineares Homogêneos.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01/02 - 12/02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Inversão de Matrizes: Definição, propriedades, propriedades e exemplos/ Método para cálculo da Inversa. Exemplos.</w:t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Determinantes: Definições, propriedades. Determinante de matrizes triangulares. Propriedades e Cálculo de determinantes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15/02 - 26/02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numPr>
                      <w:ilvl w:val="0"/>
                      <w:numId w:val="12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Espaços vetoriais: Definição, exemplos e propriedades.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numPr>
                      <w:ilvl w:val="0"/>
                      <w:numId w:val="1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Subespaços vetoriais: Definição, exemplos.</w:t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numPr>
                      <w:ilvl w:val="0"/>
                      <w:numId w:val="1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Combinação linear e subespaços gerados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01/03 - 12/03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numPr>
                      <w:ilvl w:val="0"/>
                      <w:numId w:val="8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Dependência e independência linear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numPr>
                      <w:ilvl w:val="0"/>
                      <w:numId w:val="8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Base e Dimensão. Coordenadas de um vetor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numPr>
                      <w:ilvl w:val="0"/>
                      <w:numId w:val="8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Transformações Lineares: Definição e exemplos, propriedades.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15/03 - 26/03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widowControl w:val="0"/>
                    <w:numPr>
                      <w:ilvl w:val="0"/>
                      <w:numId w:val="5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Autovalores e Autovetores</w:t>
                  </w:r>
                </w:p>
                <w:p w:rsidR="00000000" w:rsidDel="00000000" w:rsidP="00000000" w:rsidRDefault="00000000" w:rsidRPr="00000000" w14:paraId="0000007F">
                  <w:pPr>
                    <w:widowControl w:val="0"/>
                    <w:numPr>
                      <w:ilvl w:val="0"/>
                      <w:numId w:val="5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Diagonalização</w:t>
                  </w:r>
                </w:p>
                <w:p w:rsidR="00000000" w:rsidDel="00000000" w:rsidP="00000000" w:rsidRDefault="00000000" w:rsidRPr="00000000" w14:paraId="00000080">
                  <w:pPr>
                    <w:widowControl w:val="0"/>
                    <w:numPr>
                      <w:ilvl w:val="0"/>
                      <w:numId w:val="5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Produto escalar e projeções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29/03 - 09/04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widowControl w:val="0"/>
                    <w:numPr>
                      <w:ilvl w:val="0"/>
                      <w:numId w:val="6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Produto Vetorial e Produto misto</w:t>
                  </w:r>
                </w:p>
                <w:p w:rsidR="00000000" w:rsidDel="00000000" w:rsidP="00000000" w:rsidRDefault="00000000" w:rsidRPr="00000000" w14:paraId="00000083">
                  <w:pPr>
                    <w:widowControl w:val="0"/>
                    <w:numPr>
                      <w:ilvl w:val="0"/>
                      <w:numId w:val="6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Equações de Retas</w:t>
                  </w:r>
                </w:p>
                <w:p w:rsidR="00000000" w:rsidDel="00000000" w:rsidP="00000000" w:rsidRDefault="00000000" w:rsidRPr="00000000" w14:paraId="00000084">
                  <w:pPr>
                    <w:widowControl w:val="0"/>
                    <w:numPr>
                      <w:ilvl w:val="0"/>
                      <w:numId w:val="6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Interseção de Retas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12/04 - 23/04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numPr>
                      <w:ilvl w:val="0"/>
                      <w:numId w:val="1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Equações de Planos</w:t>
                  </w:r>
                </w:p>
                <w:p w:rsidR="00000000" w:rsidDel="00000000" w:rsidP="00000000" w:rsidRDefault="00000000" w:rsidRPr="00000000" w14:paraId="00000087">
                  <w:pPr>
                    <w:widowControl w:val="0"/>
                    <w:numPr>
                      <w:ilvl w:val="0"/>
                      <w:numId w:val="1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Interseção de Planos</w:t>
                  </w:r>
                </w:p>
                <w:p w:rsidR="00000000" w:rsidDel="00000000" w:rsidP="00000000" w:rsidRDefault="00000000" w:rsidRPr="00000000" w14:paraId="00000088">
                  <w:pPr>
                    <w:widowControl w:val="0"/>
                    <w:numPr>
                      <w:ilvl w:val="0"/>
                      <w:numId w:val="1"/>
                    </w:numPr>
                    <w:ind w:left="720" w:hanging="360"/>
                  </w:pPr>
                  <w:r w:rsidDel="00000000" w:rsidR="00000000" w:rsidRPr="00000000">
                    <w:rPr>
                      <w:rtl w:val="0"/>
                    </w:rPr>
                    <w:t xml:space="preserve">Cônicas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30/04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u w:val="none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Exame especial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146.0" w:type="dxa"/>
              <w:jc w:val="center"/>
              <w:tblLayout w:type="fixed"/>
              <w:tblLook w:val="0000"/>
            </w:tblPr>
            <w:tblGrid>
              <w:gridCol w:w="2051"/>
              <w:gridCol w:w="1755"/>
              <w:gridCol w:w="1290"/>
              <w:gridCol w:w="4050"/>
              <w:tblGridChange w:id="0">
                <w:tblGrid>
                  <w:gridCol w:w="2051"/>
                  <w:gridCol w:w="1755"/>
                  <w:gridCol w:w="1290"/>
                  <w:gridCol w:w="4050"/>
                </w:tblGrid>
              </w:tblGridChange>
            </w:tblGrid>
            <w:tr>
              <w:trPr>
                <w:trHeight w:val="289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1d9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Horário de atendimento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shd w:fill="e5dfec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ind w:left="-362" w:firstLine="427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Dia da semana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ind w:left="0" w:hanging="2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Horário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</w:tcPr>
                <w:p w:rsidR="00000000" w:rsidDel="00000000" w:rsidP="00000000" w:rsidRDefault="00000000" w:rsidRPr="00000000" w14:paraId="00000098">
                  <w:pPr>
                    <w:ind w:left="0" w:hanging="2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Docente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Link do Google Meet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A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Terça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13h30 às 15h10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Cristiano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ind w:left="0" w:hanging="2"/>
                    <w:jc w:val="center"/>
                    <w:rPr/>
                  </w:pPr>
                  <w:hyperlink r:id="rId13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https://meet.google.com/fin-nqxc-hxo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5dfec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ind w:left="0" w:hanging="2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225.0" w:type="dxa"/>
              <w:jc w:val="center"/>
              <w:tblLayout w:type="fixed"/>
              <w:tblLook w:val="0000"/>
            </w:tblPr>
            <w:tblGrid>
              <w:gridCol w:w="4415"/>
              <w:gridCol w:w="4810"/>
              <w:tblGridChange w:id="0">
                <w:tblGrid>
                  <w:gridCol w:w="4415"/>
                  <w:gridCol w:w="4810"/>
                </w:tblGrid>
              </w:tblGridChange>
            </w:tblGrid>
            <w:tr>
              <w:trPr>
                <w:trHeight w:val="289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cc1d9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ind w:left="0" w:hanging="2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Contato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5">
                  <w:pPr>
                    <w:ind w:left="0" w:hanging="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Cristiano Santos Benjamin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ind w:left="0" w:hanging="2"/>
                    <w:rPr/>
                  </w:pPr>
                  <w:hyperlink r:id="rId14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cristiano.benjamin</w:t>
                    </w:r>
                  </w:hyperlink>
                  <w:hyperlink r:id="rId15">
                    <w:r w:rsidDel="00000000" w:rsidR="00000000" w:rsidRPr="00000000">
                      <w:rPr>
                        <w:color w:val="1155cc"/>
                        <w:u w:val="single"/>
                        <w:vertAlign w:val="baseline"/>
                        <w:rtl w:val="0"/>
                      </w:rPr>
                      <w:t xml:space="preserve">@ufop.edu.br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tabs>
                <w:tab w:val="left" w:pos="612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pos="612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612"/>
              </w:tabs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pos="612"/>
              </w:tabs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afterAutospacing="0" w:line="288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ANTON, H.; RORRES, C.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Álgebra Linear com Aplicações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Porto Alegre: Bookman.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after="0" w:afterAutospacing="0" w:line="288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SANTOS, R.J.-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Um Curso de Geometria Analítica e Álgebra Linear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Belo Horizonte: Imprensa Universitária da UFMG. (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disponível na internet no endereço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https://regijs.github.io/livros.html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spacing w:after="140" w:line="288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STEINBRUCH, A.; WINTERLE, P.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Geometria Analítica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São Paulo: Pearson Makron Books.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612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Bibliografia complementar: 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4"/>
              </w:numPr>
              <w:spacing w:after="0" w:afterAutospacing="0" w:line="288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SANTOS, N. M.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Vetores e matrizes: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uma introdução à álgebra linear.  São Paulo: Thomson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spacing w:after="0" w:afterAutospacing="0" w:line="288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BOLDRINI, J. L.; Costa, S. I.; FIGUEIREDO, V. L.,WETZLER, H. G.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Álgebra Linea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r. São Paulo: Harbra.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spacing w:after="0" w:afterAutospacing="0" w:line="288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LIPSCHUTZ, S.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Álgebra Linear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 São Paulo: Mc Graw-Hill.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4"/>
              </w:numPr>
              <w:spacing w:after="140" w:line="288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CAMARGO, I.; BOULOS, P. 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Geometria Analítica: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 tratamento vetorial. São Paulo: Prentice-Hall.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1" w:customStyle="1">
    <w:name w:val="c1"/>
    <w:rPr>
      <w:w w:val="100"/>
      <w:position w:val="-1"/>
      <w:effect w:val="none"/>
      <w:vertAlign w:val="baseline"/>
      <w:cs w:val="0"/>
      <w:em w:val="none"/>
    </w:rPr>
  </w:style>
  <w:style w:type="paragraph" w:styleId="TableContents" w:customStyle="1">
    <w:name w:val="Table Contents"/>
    <w:basedOn w:val="Normal"/>
    <w:pPr>
      <w:suppressLineNumbers w:val="1"/>
      <w:suppressAutoHyphens w:val="0"/>
    </w:pPr>
    <w:rPr>
      <w:rFonts w:ascii="Arial Narrow" w:cs="Arial Narrow" w:hAnsi="Arial Narrow"/>
      <w:sz w:val="28"/>
      <w:szCs w:val="20"/>
      <w:lang w:eastAsia="zh-CN"/>
    </w:rPr>
  </w:style>
  <w:style w:type="character" w:styleId="MenoPendente">
    <w:name w:val="Unresolved Mention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elacomgrade">
    <w:name w:val="Table Grid"/>
    <w:basedOn w:val="Tabelanormal"/>
    <w:uiPriority w:val="39"/>
    <w:rsid w:val="008226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D73C2E"/>
    <w:pPr>
      <w:ind w:left="720"/>
      <w:contextualSpacing w:val="1"/>
    </w:pPr>
  </w:style>
  <w:style w:type="character" w:styleId="jtukpc" w:customStyle="1">
    <w:name w:val="jtukpc"/>
    <w:basedOn w:val="Fontepargpadro"/>
    <w:rsid w:val="00B0249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fin-nqxc-hxo" TargetMode="External"/><Relationship Id="rId10" Type="http://schemas.openxmlformats.org/officeDocument/2006/relationships/hyperlink" Target="https://classroom.conexty.com" TargetMode="External"/><Relationship Id="rId13" Type="http://schemas.openxmlformats.org/officeDocument/2006/relationships/hyperlink" Target="https://meet.google.com/fin-nqxc-hxo" TargetMode="External"/><Relationship Id="rId12" Type="http://schemas.openxmlformats.org/officeDocument/2006/relationships/hyperlink" Target="https://classroom.conext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room.conexty.com" TargetMode="External"/><Relationship Id="rId15" Type="http://schemas.openxmlformats.org/officeDocument/2006/relationships/hyperlink" Target="mailto:cristiano.benjamin@ufop.edu.br" TargetMode="External"/><Relationship Id="rId14" Type="http://schemas.openxmlformats.org/officeDocument/2006/relationships/hyperlink" Target="mailto:cristiano.benjamin@ufop.edu.br" TargetMode="External"/><Relationship Id="rId16" Type="http://schemas.openxmlformats.org/officeDocument/2006/relationships/hyperlink" Target="https://regijs.github.io/livros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8bwBLV9oWBN9rwDA7j7CKrZ+A==">AMUW2mWAOregPdnT3fbB7UbX0ivJRVIX0HvJLw8gwjIstChQW/Ac7gce9wcqvYDC9D+xd3N7/rE8rJNBW7K0oKbtGjVJztsW4ZU202cmB/0CgWqsNB6SzP0=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2020-07-20T13:11:00Z</dcterms:created>
  <dc:creator>PROGRAD</dc:creator>
</cp:coreProperties>
</file>